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9" w:rsidRPr="00E431FF" w:rsidRDefault="00E431FF" w:rsidP="00E431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1FF">
        <w:rPr>
          <w:rFonts w:ascii="Times New Roman" w:hAnsi="Times New Roman" w:cs="Times New Roman"/>
          <w:b/>
          <w:i/>
          <w:sz w:val="24"/>
          <w:szCs w:val="24"/>
        </w:rPr>
        <w:t xml:space="preserve">Wymagania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dla ucznia </w:t>
      </w:r>
      <w:r w:rsidRPr="00E431FF">
        <w:rPr>
          <w:rFonts w:ascii="Times New Roman" w:hAnsi="Times New Roman" w:cs="Times New Roman"/>
          <w:b/>
          <w:i/>
          <w:sz w:val="24"/>
          <w:szCs w:val="24"/>
        </w:rPr>
        <w:t>do działu: „Od absolutyzmu do republiki”</w:t>
      </w:r>
    </w:p>
    <w:p w:rsidR="00E431FF" w:rsidRDefault="00E431FF">
      <w:pPr>
        <w:rPr>
          <w:rFonts w:ascii="Times New Roman" w:hAnsi="Times New Roman" w:cs="Times New Roman"/>
        </w:rPr>
      </w:pPr>
    </w:p>
    <w:tbl>
      <w:tblPr>
        <w:tblW w:w="14589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517"/>
        <w:gridCol w:w="2552"/>
        <w:gridCol w:w="2693"/>
        <w:gridCol w:w="2835"/>
        <w:gridCol w:w="2552"/>
      </w:tblGrid>
      <w:tr w:rsidR="00E431FF" w:rsidRPr="00E431FF" w:rsidTr="00E431FF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1FF" w:rsidRPr="00E431FF" w:rsidRDefault="00E431FF" w:rsidP="00E4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1FF" w:rsidRPr="00E431FF" w:rsidRDefault="00E431FF" w:rsidP="00E431FF">
            <w:pPr>
              <w:spacing w:after="0" w:line="240" w:lineRule="auto"/>
              <w:jc w:val="center"/>
              <w:rPr>
                <w:rStyle w:val="A13"/>
                <w:rFonts w:cstheme="minorHAnsi"/>
                <w:b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b/>
                <w:sz w:val="22"/>
                <w:szCs w:val="22"/>
              </w:rPr>
              <w:t>Na ocenę dopuszczającą uczeń: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1FF" w:rsidRPr="00E431FF" w:rsidRDefault="00E431FF" w:rsidP="00E431FF">
            <w:pPr>
              <w:spacing w:after="0" w:line="240" w:lineRule="auto"/>
              <w:jc w:val="center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b/>
                <w:sz w:val="22"/>
                <w:szCs w:val="22"/>
              </w:rPr>
              <w:t>Na ocenę do</w:t>
            </w:r>
            <w:r>
              <w:rPr>
                <w:rStyle w:val="A13"/>
                <w:rFonts w:cstheme="minorHAnsi"/>
                <w:b/>
                <w:sz w:val="22"/>
                <w:szCs w:val="22"/>
              </w:rPr>
              <w:t xml:space="preserve">stateczną </w:t>
            </w:r>
            <w:r w:rsidRPr="00E431FF">
              <w:rPr>
                <w:rStyle w:val="A13"/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1FF" w:rsidRDefault="00E431FF" w:rsidP="00E431FF">
            <w:pPr>
              <w:spacing w:after="0" w:line="240" w:lineRule="auto"/>
              <w:jc w:val="center"/>
              <w:rPr>
                <w:rStyle w:val="A13"/>
                <w:rFonts w:cstheme="minorHAnsi"/>
                <w:b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b/>
                <w:sz w:val="22"/>
                <w:szCs w:val="22"/>
              </w:rPr>
              <w:t>Na ocenę do</w:t>
            </w:r>
            <w:r>
              <w:rPr>
                <w:rStyle w:val="A13"/>
                <w:rFonts w:cstheme="minorHAnsi"/>
                <w:b/>
                <w:sz w:val="22"/>
                <w:szCs w:val="22"/>
              </w:rPr>
              <w:t>brą</w:t>
            </w:r>
          </w:p>
          <w:p w:rsidR="00E431FF" w:rsidRPr="00E431FF" w:rsidRDefault="00E431FF" w:rsidP="00E431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Style w:val="A13"/>
                <w:rFonts w:cstheme="minorHAnsi"/>
                <w:b/>
                <w:sz w:val="22"/>
                <w:szCs w:val="22"/>
              </w:rPr>
              <w:t xml:space="preserve"> </w:t>
            </w:r>
            <w:r w:rsidRPr="00E431FF">
              <w:rPr>
                <w:rStyle w:val="A13"/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1FF" w:rsidRPr="00E431FF" w:rsidRDefault="00E431FF" w:rsidP="00E43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E431FF">
              <w:rPr>
                <w:rStyle w:val="A13"/>
                <w:rFonts w:cstheme="minorHAnsi"/>
                <w:b/>
                <w:sz w:val="22"/>
                <w:szCs w:val="22"/>
              </w:rPr>
              <w:t xml:space="preserve">Na ocenę </w:t>
            </w:r>
            <w:r>
              <w:rPr>
                <w:rStyle w:val="A13"/>
                <w:rFonts w:cstheme="minorHAnsi"/>
                <w:b/>
                <w:sz w:val="22"/>
                <w:szCs w:val="22"/>
              </w:rPr>
              <w:t>bardzo dobrą</w:t>
            </w:r>
            <w:r w:rsidRPr="00E431FF">
              <w:rPr>
                <w:rStyle w:val="A13"/>
                <w:rFonts w:cstheme="minorHAnsi"/>
                <w:b/>
                <w:sz w:val="22"/>
                <w:szCs w:val="22"/>
              </w:rPr>
              <w:t xml:space="preserve"> uczeń: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1FF" w:rsidRDefault="00E431FF" w:rsidP="00E431FF">
            <w:pPr>
              <w:snapToGrid w:val="0"/>
              <w:spacing w:after="0" w:line="240" w:lineRule="auto"/>
              <w:jc w:val="center"/>
              <w:rPr>
                <w:rStyle w:val="A13"/>
                <w:rFonts w:cstheme="minorHAnsi"/>
                <w:b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b/>
                <w:sz w:val="22"/>
                <w:szCs w:val="22"/>
              </w:rPr>
              <w:t xml:space="preserve">Na ocenę </w:t>
            </w:r>
            <w:r>
              <w:rPr>
                <w:rStyle w:val="A13"/>
                <w:rFonts w:cstheme="minorHAnsi"/>
                <w:b/>
                <w:sz w:val="22"/>
                <w:szCs w:val="22"/>
              </w:rPr>
              <w:t>celującą</w:t>
            </w:r>
          </w:p>
          <w:p w:rsidR="00E431FF" w:rsidRPr="00E431FF" w:rsidRDefault="00E431FF" w:rsidP="00E431FF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Style w:val="A13"/>
                <w:rFonts w:cstheme="minorHAnsi"/>
                <w:b/>
                <w:sz w:val="22"/>
                <w:szCs w:val="22"/>
              </w:rPr>
              <w:t xml:space="preserve"> </w:t>
            </w:r>
            <w:r w:rsidRPr="00E431FF">
              <w:rPr>
                <w:rStyle w:val="A13"/>
                <w:rFonts w:cstheme="minorHAnsi"/>
                <w:b/>
                <w:sz w:val="22"/>
                <w:szCs w:val="22"/>
              </w:rPr>
              <w:t>uczeń:</w:t>
            </w:r>
          </w:p>
        </w:tc>
      </w:tr>
      <w:tr w:rsidR="00E431FF" w:rsidRPr="00E431FF" w:rsidTr="00E431FF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1FF" w:rsidRPr="00E431FF" w:rsidRDefault="00E431FF" w:rsidP="0048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E431FF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krótko opisuje zakres władzy króla w monarchii absolutnej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przywołuje postać Ludwika XIV jako władcy absolutnego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wskazuje na mapie Francję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E431FF" w:rsidRPr="00E431FF" w:rsidRDefault="00E431FF" w:rsidP="004856A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 xml:space="preserve">– poprawnie posługuje się terminem: </w:t>
            </w:r>
            <w:r w:rsidRPr="00E431FF">
              <w:rPr>
                <w:rStyle w:val="A13"/>
                <w:rFonts w:cstheme="minorHAnsi"/>
                <w:i/>
                <w:sz w:val="22"/>
                <w:szCs w:val="22"/>
              </w:rPr>
              <w:t>monarchia absolutna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wymienia uprawnienia monarchy absolutnego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wyjaśnia, dlaczego Ludwika XIV określano mianem Króla Słońce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wskazuje czas panowania Ludwika XIV (XVII w.)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eastAsia="Times" w:cstheme="minorHAnsi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opisuje życiu w Wersalu w czasach Ludwika XIV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 xml:space="preserve">– poprawnie posługuje się terminami: </w:t>
            </w:r>
            <w:r w:rsidRPr="00E431FF">
              <w:rPr>
                <w:rFonts w:cstheme="minorHAnsi"/>
                <w:i/>
              </w:rPr>
              <w:t>manufaktura</w:t>
            </w:r>
            <w:r w:rsidRPr="00E431FF">
              <w:rPr>
                <w:rFonts w:cstheme="minorHAnsi"/>
              </w:rPr>
              <w:t>,</w:t>
            </w:r>
            <w:r w:rsidRPr="00E431FF">
              <w:rPr>
                <w:rFonts w:cstheme="minorHAnsi"/>
                <w:i/>
              </w:rPr>
              <w:t xml:space="preserve"> cło</w:t>
            </w:r>
            <w:r w:rsidRPr="00E431FF">
              <w:rPr>
                <w:rFonts w:cstheme="minorHAnsi"/>
              </w:rPr>
              <w:t xml:space="preserve">, </w:t>
            </w:r>
            <w:r w:rsidRPr="00E431FF">
              <w:rPr>
                <w:rFonts w:cstheme="minorHAnsi"/>
                <w:i/>
              </w:rPr>
              <w:t>import</w:t>
            </w:r>
            <w:r w:rsidRPr="00E431FF">
              <w:rPr>
                <w:rFonts w:cstheme="minorHAnsi"/>
              </w:rPr>
              <w:t xml:space="preserve">, </w:t>
            </w:r>
            <w:r w:rsidRPr="00E431FF">
              <w:rPr>
                <w:rFonts w:cstheme="minorHAnsi"/>
                <w:i/>
              </w:rPr>
              <w:t>eksport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wyjaśnia, dlaczego Francja była europejską potęgą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przedstawia, w jaki sposób doszło do wzmocnienia władzy królewskiej we Francji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 xml:space="preserve">– poprawnie posługuje się terminem: </w:t>
            </w:r>
            <w:r w:rsidRPr="00E431FF">
              <w:rPr>
                <w:rFonts w:cstheme="minorHAnsi"/>
                <w:i/>
              </w:rPr>
              <w:t>hugenoci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opisuje, jak zakończyły się wojny religijne we Francji (przywołuje Edykt nantejski)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 xml:space="preserve">– omawia politykę gospodarczą ministra Colberta 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opowiada o twórczości Moliera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przedstawia działania kardynała Richelieu zmierzające do wzmocnienia pozycji monarchy</w:t>
            </w:r>
          </w:p>
          <w:p w:rsidR="00E431FF" w:rsidRPr="00E431FF" w:rsidRDefault="00E431FF" w:rsidP="004856A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wskazuje pozytywne i negatywne strony panowania Ludwika XIV</w:t>
            </w:r>
          </w:p>
        </w:tc>
      </w:tr>
      <w:tr w:rsidR="00E431FF" w:rsidRPr="00E431FF" w:rsidTr="00E431FF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1FF" w:rsidRPr="00E431FF" w:rsidRDefault="00E431FF" w:rsidP="0048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E431FF">
              <w:rPr>
                <w:rFonts w:cstheme="minorHAnsi"/>
                <w:lang w:eastAsia="pl-PL"/>
              </w:rPr>
              <w:t>2. Monarchia parlamentarna w Anglii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wskazuje na mapie Anglię i Londyn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 xml:space="preserve">– przy pomocy nauczyciela posługuje się terminem: </w:t>
            </w:r>
            <w:r w:rsidRPr="00E431FF">
              <w:rPr>
                <w:rStyle w:val="A13"/>
                <w:rFonts w:cstheme="minorHAnsi"/>
                <w:i/>
                <w:sz w:val="22"/>
                <w:szCs w:val="22"/>
              </w:rPr>
              <w:t>parlament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E431FF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poprawnie posługuje się terminem: </w:t>
            </w:r>
            <w:r w:rsidRPr="00E431FF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monarchia parlamentarna</w:t>
            </w:r>
          </w:p>
          <w:p w:rsidR="00E431FF" w:rsidRPr="00E431FF" w:rsidRDefault="00E431FF" w:rsidP="004856AA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E431FF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wskazuje Anglię jako kraj o ustroju monarchii parlamentarnej</w:t>
            </w:r>
          </w:p>
          <w:p w:rsidR="00E431FF" w:rsidRPr="00E431FF" w:rsidRDefault="00E431FF" w:rsidP="004856AA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E431FF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wymienia i krótko charakteryzuje postaci Karola I Stuarta, Olivera Cromwella i Wilhelma Orańskiego</w:t>
            </w:r>
          </w:p>
          <w:p w:rsidR="00E431FF" w:rsidRPr="00E431FF" w:rsidRDefault="00E431FF" w:rsidP="004856AA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E431FF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przedstawia zakres władzy dyktatora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wyjaśnia przyczyny konfliktu Karola I z parlamentem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przedstawia Deklarację praw narodu angielskiego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charakteryzuje ustrój monarchii parlamentarnej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 xml:space="preserve">– poprawnie posługuje się terminami: </w:t>
            </w:r>
            <w:r w:rsidRPr="00E431FF">
              <w:rPr>
                <w:rFonts w:cstheme="minorHAnsi"/>
                <w:i/>
              </w:rPr>
              <w:t>purytanie</w:t>
            </w:r>
            <w:r w:rsidRPr="00E431FF">
              <w:rPr>
                <w:rFonts w:cstheme="minorHAnsi"/>
              </w:rPr>
              <w:t xml:space="preserve">, </w:t>
            </w:r>
            <w:r w:rsidRPr="00E431FF">
              <w:rPr>
                <w:rFonts w:cstheme="minorHAnsi"/>
                <w:i/>
              </w:rPr>
              <w:t>nowa szlachta</w:t>
            </w:r>
            <w:r w:rsidRPr="00E431FF">
              <w:rPr>
                <w:rFonts w:cstheme="minorHAnsi"/>
              </w:rPr>
              <w:t xml:space="preserve">, </w:t>
            </w:r>
            <w:r w:rsidRPr="00E431FF">
              <w:rPr>
                <w:rFonts w:cstheme="minorHAnsi"/>
                <w:i/>
              </w:rPr>
              <w:t>rojaliści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przedstawia postać Olivera Cromwella i jego dokonania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wskazuje 1689 r. jako czas ukształtowania się monarchii parlamentarnej w Anglii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 xml:space="preserve">– wymienia główne etapy 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kształtowania się monarchii parlamentarnej w Anglii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porównuje ustrój monarchii parlamentarnej i monarchii absolutnej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431FF" w:rsidRPr="00E431FF" w:rsidTr="00E431FF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1FF" w:rsidRPr="00E431FF" w:rsidRDefault="00E431FF" w:rsidP="0048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E431FF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t xml:space="preserve">– poprawnie posługuje się terminem: </w:t>
            </w:r>
            <w:r w:rsidRPr="00E431FF">
              <w:rPr>
                <w:rFonts w:cstheme="minorHAnsi"/>
                <w:i/>
              </w:rPr>
              <w:t>oświecenie</w:t>
            </w:r>
          </w:p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lastRenderedPageBreak/>
              <w:t>– zaznacza na osi czasu epokę oświecenia</w:t>
            </w:r>
          </w:p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podaje przykład dokonania naukowego lub technicznego epoki oświecenia (np. termometr lekarski, maszyna parowa)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lastRenderedPageBreak/>
              <w:t xml:space="preserve">– poprawnie posługuje się terminem: </w:t>
            </w:r>
            <w:r w:rsidRPr="00E431FF">
              <w:rPr>
                <w:rFonts w:cstheme="minorHAnsi"/>
                <w:i/>
              </w:rPr>
              <w:t>klasycyzm</w:t>
            </w:r>
          </w:p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lastRenderedPageBreak/>
              <w:t>– wymienia przykłady budowli klasycystycznych w Polsce i Europie</w:t>
            </w:r>
          </w:p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t>– charakteryzuje styl klasycystyczny</w:t>
            </w:r>
          </w:p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t>– z ilustracji przedstawiających zabytki wybiera te, które zostały zbudowane w stylu klasycystycznym</w:t>
            </w:r>
          </w:p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wymienia najważniejsze dokonania naukowe i techniczne epoki oświecenia</w:t>
            </w:r>
          </w:p>
          <w:p w:rsidR="00E431FF" w:rsidRPr="00E431FF" w:rsidRDefault="00E431FF" w:rsidP="0048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 xml:space="preserve">– tłumaczy, </w:t>
            </w:r>
            <w:r w:rsidRPr="00E431FF">
              <w:rPr>
                <w:rFonts w:cstheme="minorHAnsi"/>
              </w:rPr>
              <w:t>dlaczego nowa epoka w kulturze</w:t>
            </w:r>
          </w:p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t>europejskiej została nazwana oświeceniem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lastRenderedPageBreak/>
              <w:t>– charakteryzuje ideologię oświecenia</w:t>
            </w:r>
          </w:p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lastRenderedPageBreak/>
              <w:t>– przedstawia postać Monteskiusza i wyjaśnia, na czym polegała opracowana przez niego koncepcja trójpodziału władzy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lastRenderedPageBreak/>
              <w:t xml:space="preserve">– przedstawia postaci Woltera i Jana Jakuba </w:t>
            </w:r>
            <w:r w:rsidRPr="00E431FF">
              <w:rPr>
                <w:rFonts w:cstheme="minorHAnsi"/>
              </w:rPr>
              <w:lastRenderedPageBreak/>
              <w:t>Rousseau</w:t>
            </w:r>
          </w:p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t xml:space="preserve">– poprawnie posługuje się terminem: </w:t>
            </w:r>
            <w:r w:rsidRPr="00E431FF">
              <w:rPr>
                <w:rFonts w:cstheme="minorHAnsi"/>
                <w:i/>
              </w:rPr>
              <w:t>ateizm</w:t>
            </w:r>
          </w:p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t>– omawia koncepcję umowy społecznej zaproponowaną przez Jana Jakuba Rousseau</w:t>
            </w:r>
          </w:p>
          <w:p w:rsidR="00E431FF" w:rsidRPr="00E431FF" w:rsidRDefault="00E431FF" w:rsidP="004856AA">
            <w:pPr>
              <w:spacing w:after="0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wyjaśnia przyczyny krytyki absolutyzmu i Kościoła przez filozofów doby oświecenia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lastRenderedPageBreak/>
              <w:t xml:space="preserve">– wskazuje wpływ dokonań naukowych i </w:t>
            </w:r>
            <w:r w:rsidRPr="00E431FF">
              <w:rPr>
                <w:rFonts w:cstheme="minorHAnsi"/>
              </w:rPr>
              <w:lastRenderedPageBreak/>
              <w:t>technicznych na zmiany w życiu ludzi</w:t>
            </w:r>
          </w:p>
          <w:p w:rsidR="00E431FF" w:rsidRPr="00E431FF" w:rsidRDefault="00E431FF" w:rsidP="004856A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 xml:space="preserve">– przedstawia zasługi Denisa Diderota dla powstania </w:t>
            </w:r>
            <w:r w:rsidRPr="00E431FF">
              <w:rPr>
                <w:rFonts w:cstheme="minorHAnsi"/>
                <w:i/>
              </w:rPr>
              <w:t>Wielkiej encyklopedii francuskiej</w:t>
            </w:r>
          </w:p>
          <w:p w:rsidR="00E431FF" w:rsidRPr="00E431FF" w:rsidRDefault="00E431FF" w:rsidP="004856AA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431FF" w:rsidRPr="00E431FF" w:rsidTr="00E431FF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1FF" w:rsidRPr="00E431FF" w:rsidRDefault="00E431FF" w:rsidP="0048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E431FF">
              <w:rPr>
                <w:rFonts w:cstheme="minorHAnsi"/>
                <w:lang w:eastAsia="pl-PL"/>
              </w:rPr>
              <w:lastRenderedPageBreak/>
              <w:t>4. Nowe potęgi europejskie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wskazuje na mapie Rosję, Austrię i Prusy w XVIII w.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 xml:space="preserve">– wymienia Marię Teresę, Józefa II, Piotra I </w:t>
            </w:r>
            <w:proofErr w:type="spellStart"/>
            <w:r w:rsidRPr="00E431FF">
              <w:rPr>
                <w:rStyle w:val="A13"/>
                <w:rFonts w:cstheme="minorHAnsi"/>
                <w:sz w:val="22"/>
                <w:szCs w:val="22"/>
              </w:rPr>
              <w:t>i</w:t>
            </w:r>
            <w:proofErr w:type="spellEnd"/>
            <w:r w:rsidRPr="00E431FF">
              <w:rPr>
                <w:rStyle w:val="A13"/>
                <w:rFonts w:cstheme="minorHAnsi"/>
                <w:sz w:val="22"/>
                <w:szCs w:val="22"/>
              </w:rPr>
              <w:t xml:space="preserve"> Fryderyka Wielkiego jako władców Austrii, Rosji i Prus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wskazuje Rosję, Austrię i Prusy jako potęgi europejskie XVIII stulecia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 xml:space="preserve">– poprawnie posługuje się terminami: </w:t>
            </w:r>
            <w:r w:rsidRPr="00E431FF">
              <w:rPr>
                <w:rStyle w:val="A13"/>
                <w:rFonts w:cstheme="minorHAnsi"/>
                <w:i/>
                <w:sz w:val="22"/>
                <w:szCs w:val="22"/>
              </w:rPr>
              <w:t>absolutyzm</w:t>
            </w:r>
            <w:r w:rsidRPr="00E431FF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E431FF">
              <w:rPr>
                <w:rStyle w:val="A13"/>
                <w:rFonts w:cstheme="minorHAnsi"/>
                <w:i/>
                <w:sz w:val="22"/>
                <w:szCs w:val="22"/>
              </w:rPr>
              <w:t>absolutyzm oświecony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podaje przykłady reform w monarchiach absolutyzmu oświeconego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wskazuje wpływ ideologii oświecenia na reformy w krajach absolutyzmu oświeconego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eastAsia="Times" w:cstheme="minorHAnsi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wskazuje na mapie Petersburg jako nową stolicę Rosji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wymienia reformy przeprowadzone w Rosji, Austrii i Prusach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wyjaśnia, dlaczego monarchowie absolutyzmu oświeconego nazywali siebie „sługami ludu”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wyjaśnia związki między pojawieniem się nowych potęg w Europie Środkowej a sytuacją w Rzeczypospolitej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charakteryzuje reformy przeprowadzone w Rosji, Austrii i Prusach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wyjaśnia wpływ reform na wzrost znaczenia tych państw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opisuje skutki uzyskania przez Rosję dostępu do Bałtyku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porównuje monarchię absolutną z monarchią absolutyzmu oświeconego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podaje daty powstania Królestwa Pruskiego (1701 r.) i Cesarstwa Rosyjskiego (1721 r.)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431FF" w:rsidRPr="00E431FF" w:rsidTr="00E431FF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1FF" w:rsidRPr="00E431FF" w:rsidRDefault="00E431FF" w:rsidP="004856A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lastRenderedPageBreak/>
              <w:t>5. Stany Zjednoczone Ameryki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Fonts w:eastAsia="Times" w:cstheme="minorHAnsi"/>
              </w:rPr>
            </w:pPr>
            <w:r w:rsidRPr="00E431FF">
              <w:rPr>
                <w:rFonts w:eastAsia="Times" w:cstheme="minorHAnsi"/>
              </w:rPr>
              <w:t>– wskazuje na mapie Stany Zjednoczone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eastAsia="Times" w:cstheme="minorHAnsi"/>
              </w:rPr>
            </w:pPr>
            <w:r w:rsidRPr="00E431FF">
              <w:rPr>
                <w:rFonts w:eastAsia="Times" w:cstheme="minorHAnsi"/>
              </w:rPr>
              <w:t>– określa czas powstania Stanów Zjednoczonych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eastAsia="Times" w:cstheme="minorHAnsi"/>
              </w:rPr>
            </w:pPr>
            <w:r w:rsidRPr="00E431FF">
              <w:rPr>
                <w:rFonts w:eastAsia="Times" w:cstheme="minorHAnsi"/>
              </w:rPr>
              <w:t>– wymienia Tadeusza Kościuszkę i Kazimierza Pułaskiego jako polskich bohaterów walki o niepodległość USA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eastAsia="Times" w:cstheme="minorHAnsi"/>
              </w:rPr>
            </w:pPr>
            <w:r w:rsidRPr="00E431FF">
              <w:rPr>
                <w:rFonts w:eastAsia="Times" w:cstheme="minorHAnsi"/>
              </w:rPr>
              <w:t>– przywołuje postać Jerzego Waszyngtona jako pierwszego prezydenta USA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 xml:space="preserve">– poprawnie posługuje się terminami: </w:t>
            </w:r>
            <w:r w:rsidRPr="00E431FF">
              <w:rPr>
                <w:rStyle w:val="A13"/>
                <w:rFonts w:cstheme="minorHAnsi"/>
                <w:i/>
                <w:sz w:val="22"/>
                <w:szCs w:val="22"/>
              </w:rPr>
              <w:t>kolonia</w:t>
            </w:r>
            <w:r w:rsidRPr="00E431FF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E431FF">
              <w:rPr>
                <w:rStyle w:val="A13"/>
                <w:rFonts w:cstheme="minorHAnsi"/>
                <w:i/>
                <w:sz w:val="22"/>
                <w:szCs w:val="22"/>
              </w:rPr>
              <w:t>konstytucja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eastAsia="Times" w:cstheme="minorHAnsi"/>
              </w:rPr>
            </w:pPr>
            <w:r w:rsidRPr="00E431FF">
              <w:rPr>
                <w:rFonts w:eastAsia="Times" w:cstheme="minorHAnsi"/>
              </w:rPr>
              <w:t>– wskazuje na mapie kolonie brytyjskie w Ameryce Północnej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eastAsia="Times" w:cstheme="minorHAnsi"/>
              </w:rPr>
            </w:pPr>
            <w:r w:rsidRPr="00E431FF">
              <w:rPr>
                <w:rFonts w:eastAsia="Times" w:cstheme="minorHAnsi"/>
              </w:rPr>
              <w:t>– wymienia strony konfliktu w wojnie o niepodległość Stanów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podaje i zaznacza na osi czasu datę uchwalenia konstytucji USA – pierwszej takiej ustawy na świecie (1787 r.)</w:t>
            </w:r>
          </w:p>
          <w:p w:rsidR="00E431FF" w:rsidRPr="00E431FF" w:rsidRDefault="00E431FF" w:rsidP="004856AA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wyjaśnia, dlaczego Amerykanie mówią w języku angielskim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eastAsia="Times" w:cstheme="minorHAnsi"/>
              </w:rPr>
            </w:pPr>
            <w:r w:rsidRPr="00E431FF">
              <w:rPr>
                <w:rStyle w:val="A13"/>
                <w:rFonts w:cstheme="minorHAnsi"/>
                <w:sz w:val="22"/>
                <w:szCs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przedstawia przyczyny wybuchu wojny między kolonistami a rządem brytyjskim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opisuje wydarzenie zwane bostońskim piciem herbaty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 xml:space="preserve">– poprawnie posługuje się terminem: </w:t>
            </w:r>
            <w:r w:rsidRPr="00E431FF">
              <w:rPr>
                <w:rFonts w:cstheme="minorHAnsi"/>
                <w:i/>
              </w:rPr>
              <w:t>bojkot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podaje i zaznacza na osi czasu datę powstania Stanów Zjednoczonych (4 lipca 1776 r.)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charakteryzuje znaczenie Deklaracji niepodległości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przedstawia udział Polaków w walce o niepodległość 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przedstawia najważniejsze etapy walki o niepodległość USA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wskazuje na mapie Boston, Filadelfię i Yorktown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omawia zasługi Jerzego Waszyngtona dla powstania USA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opisuje idee oświeceniowe zapisane w konstytucji USA</w:t>
            </w:r>
          </w:p>
          <w:p w:rsidR="00E431FF" w:rsidRPr="00E431FF" w:rsidRDefault="00E431FF" w:rsidP="004856AA">
            <w:pPr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>– wymienia miejsca związane z udziałem Polaków w wojnie o niepodległość USA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F" w:rsidRPr="00E431FF" w:rsidRDefault="00E431FF" w:rsidP="004856A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E431FF">
              <w:rPr>
                <w:rFonts w:cstheme="minorHAnsi"/>
              </w:rPr>
              <w:t xml:space="preserve">– poprawnie posługuje się terminami: </w:t>
            </w:r>
            <w:r w:rsidRPr="00E431FF">
              <w:rPr>
                <w:rFonts w:cstheme="minorHAnsi"/>
                <w:i/>
              </w:rPr>
              <w:t>Kongres</w:t>
            </w:r>
            <w:r w:rsidRPr="00E431FF">
              <w:rPr>
                <w:rFonts w:cstheme="minorHAnsi"/>
              </w:rPr>
              <w:t xml:space="preserve">, </w:t>
            </w:r>
            <w:r w:rsidRPr="00E431FF">
              <w:rPr>
                <w:rFonts w:cstheme="minorHAnsi"/>
                <w:i/>
              </w:rPr>
              <w:t>Izba Reprezentantów</w:t>
            </w:r>
            <w:r w:rsidRPr="00E431FF">
              <w:rPr>
                <w:rFonts w:cstheme="minorHAnsi"/>
              </w:rPr>
              <w:t xml:space="preserve"> – charakteryzuje ustrój polityczny USA</w:t>
            </w:r>
          </w:p>
        </w:tc>
      </w:tr>
    </w:tbl>
    <w:p w:rsidR="00E431FF" w:rsidRPr="00E431FF" w:rsidRDefault="00E431FF">
      <w:pPr>
        <w:rPr>
          <w:rFonts w:ascii="Times New Roman" w:hAnsi="Times New Roman" w:cs="Times New Roman"/>
        </w:rPr>
      </w:pPr>
    </w:p>
    <w:sectPr w:rsidR="00E431FF" w:rsidRPr="00E431FF" w:rsidSect="00E431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31FF"/>
    <w:rsid w:val="00A13F19"/>
    <w:rsid w:val="00E4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3">
    <w:name w:val="A13"/>
    <w:uiPriority w:val="99"/>
    <w:rsid w:val="00E431FF"/>
    <w:rPr>
      <w:rFonts w:cs="Humanst521EU"/>
      <w:color w:val="000000"/>
      <w:sz w:val="15"/>
      <w:szCs w:val="15"/>
    </w:rPr>
  </w:style>
  <w:style w:type="paragraph" w:styleId="Bezodstpw">
    <w:name w:val="No Spacing"/>
    <w:uiPriority w:val="1"/>
    <w:qFormat/>
    <w:rsid w:val="00E43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5145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2021-02-14T20:01:00Z</dcterms:created>
  <dcterms:modified xsi:type="dcterms:W3CDTF">2021-02-14T20:08:00Z</dcterms:modified>
</cp:coreProperties>
</file>